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588E0" w14:textId="1920CC06" w:rsidR="00DF4222" w:rsidRDefault="00DF4222" w:rsidP="00DF4222">
      <w:pPr>
        <w:pStyle w:val="DBDRAFTS"/>
        <w:jc w:val="left"/>
        <w:rPr>
          <w:b/>
          <w:sz w:val="28"/>
        </w:rPr>
      </w:pPr>
      <w:r w:rsidRPr="00DF4222">
        <w:rPr>
          <w:b/>
          <w:noProof/>
          <w:color w:val="000000"/>
          <w:u w:val="none"/>
          <w:lang w:eastAsia="en-GB"/>
        </w:rPr>
        <w:drawing>
          <wp:inline distT="0" distB="0" distL="0" distR="0" wp14:anchorId="1A3FC312" wp14:editId="1B2B488E">
            <wp:extent cx="3686175" cy="1000125"/>
            <wp:effectExtent l="19050" t="0" r="9525" b="0"/>
            <wp:docPr id="1" name="Picture 1" descr="S:\Docs\Masters\Logos\JPEG\NAS logo\NSAL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s\Masters\Logos\JPEG\NAS logo\NSALG_Logo_RGB.jpg"/>
                    <pic:cNvPicPr>
                      <a:picLocks noChangeAspect="1" noChangeArrowheads="1"/>
                    </pic:cNvPicPr>
                  </pic:nvPicPr>
                  <pic:blipFill>
                    <a:blip r:embed="rId6" cstate="print"/>
                    <a:srcRect/>
                    <a:stretch>
                      <a:fillRect/>
                    </a:stretch>
                  </pic:blipFill>
                  <pic:spPr bwMode="auto">
                    <a:xfrm>
                      <a:off x="0" y="0"/>
                      <a:ext cx="3686175" cy="1000125"/>
                    </a:xfrm>
                    <a:prstGeom prst="rect">
                      <a:avLst/>
                    </a:prstGeom>
                    <a:noFill/>
                    <a:ln w="9525">
                      <a:noFill/>
                      <a:miter lim="800000"/>
                      <a:headEnd/>
                      <a:tailEnd/>
                    </a:ln>
                  </pic:spPr>
                </pic:pic>
              </a:graphicData>
            </a:graphic>
          </wp:inline>
        </w:drawing>
      </w:r>
    </w:p>
    <w:p w14:paraId="668B4035" w14:textId="77777777" w:rsidR="00DF4222" w:rsidRDefault="00DF4222" w:rsidP="00DF4222">
      <w:pPr>
        <w:pStyle w:val="NoSpacing"/>
      </w:pPr>
    </w:p>
    <w:p w14:paraId="22C5BD9B" w14:textId="0CA56C20" w:rsidR="00650305" w:rsidRDefault="00DF4222" w:rsidP="00DF4222">
      <w:pPr>
        <w:pStyle w:val="NoSpacing"/>
      </w:pPr>
      <w:r w:rsidRPr="00C01533">
        <w:rPr>
          <w:b/>
          <w:color w:val="000000"/>
          <w:sz w:val="36"/>
          <w:szCs w:val="36"/>
        </w:rPr>
        <w:t xml:space="preserve">NAS Policy </w:t>
      </w:r>
      <w:r>
        <w:rPr>
          <w:b/>
          <w:color w:val="000000"/>
          <w:sz w:val="36"/>
          <w:szCs w:val="36"/>
        </w:rPr>
        <w:t xml:space="preserve">Document </w:t>
      </w:r>
      <w:r w:rsidR="00850427">
        <w:rPr>
          <w:b/>
          <w:color w:val="000000"/>
          <w:sz w:val="36"/>
          <w:szCs w:val="36"/>
        </w:rPr>
        <w:t>10</w:t>
      </w:r>
      <w:bookmarkStart w:id="0" w:name="_GoBack"/>
      <w:bookmarkEnd w:id="0"/>
      <w:r>
        <w:rPr>
          <w:b/>
          <w:color w:val="000000"/>
          <w:sz w:val="36"/>
          <w:szCs w:val="36"/>
        </w:rPr>
        <w:t>7. Use of Land Designated Allotments for Other Forms of Gardening</w:t>
      </w:r>
    </w:p>
    <w:p w14:paraId="1707A1F4" w14:textId="77777777" w:rsidR="00CB5B26" w:rsidRPr="00B51D91" w:rsidRDefault="00CB5B26" w:rsidP="00DF4222">
      <w:pPr>
        <w:pStyle w:val="NoSpacing"/>
      </w:pPr>
    </w:p>
    <w:p w14:paraId="210EF767" w14:textId="06120843" w:rsidR="00650305" w:rsidRPr="0000049D" w:rsidRDefault="00650305" w:rsidP="00DF4222">
      <w:pPr>
        <w:pStyle w:val="NoSpacing"/>
        <w:rPr>
          <w:rFonts w:eastAsia="Times New Roman"/>
          <w:szCs w:val="24"/>
        </w:rPr>
      </w:pPr>
      <w:r w:rsidRPr="0000049D">
        <w:rPr>
          <w:rFonts w:eastAsia="Times New Roman"/>
          <w:szCs w:val="24"/>
        </w:rPr>
        <w:t>1. The Society holds that land designated for use as allotment gardens (be it on a statutory basis or otherwise) should be us</w:t>
      </w:r>
      <w:r w:rsidR="00280BB4">
        <w:rPr>
          <w:rFonts w:eastAsia="Times New Roman"/>
          <w:szCs w:val="24"/>
        </w:rPr>
        <w:t>ed for the purpose intended. This land should be</w:t>
      </w:r>
      <w:r w:rsidRPr="0000049D">
        <w:rPr>
          <w:rFonts w:eastAsia="Times New Roman"/>
          <w:szCs w:val="24"/>
        </w:rPr>
        <w:t xml:space="preserve"> subdivided into allotment gardens </w:t>
      </w:r>
      <w:r w:rsidR="00280BB4">
        <w:rPr>
          <w:rFonts w:eastAsia="Times New Roman"/>
          <w:szCs w:val="24"/>
        </w:rPr>
        <w:t xml:space="preserve">and </w:t>
      </w:r>
      <w:r w:rsidRPr="0000049D">
        <w:rPr>
          <w:rFonts w:eastAsia="Times New Roman"/>
          <w:szCs w:val="24"/>
        </w:rPr>
        <w:t xml:space="preserve">made available for cultivation by individual growers on terms defined by a tenancy agreement. </w:t>
      </w:r>
    </w:p>
    <w:p w14:paraId="5635E3BD" w14:textId="77777777" w:rsidR="00650305" w:rsidRPr="0000049D" w:rsidRDefault="00650305" w:rsidP="00DF4222">
      <w:pPr>
        <w:pStyle w:val="NoSpacing"/>
        <w:rPr>
          <w:rFonts w:eastAsia="Times New Roman"/>
          <w:szCs w:val="24"/>
        </w:rPr>
      </w:pPr>
    </w:p>
    <w:p w14:paraId="6B411A25" w14:textId="57703D10" w:rsidR="00650305" w:rsidRDefault="00650305" w:rsidP="00DF4222">
      <w:pPr>
        <w:pStyle w:val="NoSpacing"/>
        <w:rPr>
          <w:rFonts w:eastAsia="Times New Roman"/>
          <w:szCs w:val="24"/>
        </w:rPr>
      </w:pPr>
      <w:r w:rsidRPr="0000049D">
        <w:rPr>
          <w:rFonts w:eastAsia="Times New Roman"/>
          <w:szCs w:val="24"/>
        </w:rPr>
        <w:t>2</w:t>
      </w:r>
      <w:r w:rsidR="00DF4222">
        <w:rPr>
          <w:rFonts w:eastAsia="Times New Roman"/>
          <w:szCs w:val="24"/>
        </w:rPr>
        <w:t>.</w:t>
      </w:r>
      <w:r w:rsidRPr="0000049D">
        <w:rPr>
          <w:rFonts w:eastAsia="Times New Roman"/>
          <w:szCs w:val="24"/>
        </w:rPr>
        <w:t xml:space="preserve"> The Society recognises, however, that in some circumstances alternative ways of organizing cultivation, including collective cultivation by people without individual tenancies, can be compl</w:t>
      </w:r>
      <w:r w:rsidR="00C764B3">
        <w:rPr>
          <w:rFonts w:eastAsia="Times New Roman"/>
          <w:szCs w:val="24"/>
        </w:rPr>
        <w:t>ementary to allotment gardening.</w:t>
      </w:r>
      <w:r w:rsidRPr="0000049D">
        <w:rPr>
          <w:rFonts w:eastAsia="Times New Roman"/>
          <w:szCs w:val="24"/>
        </w:rPr>
        <w:t xml:space="preserve"> </w:t>
      </w:r>
      <w:r w:rsidR="00C764B3">
        <w:rPr>
          <w:rFonts w:eastAsia="Times New Roman"/>
          <w:szCs w:val="24"/>
        </w:rPr>
        <w:t>This is particularly so</w:t>
      </w:r>
      <w:r w:rsidRPr="0000049D">
        <w:rPr>
          <w:rFonts w:eastAsia="Times New Roman"/>
          <w:szCs w:val="24"/>
        </w:rPr>
        <w:t xml:space="preserve"> when individuals </w:t>
      </w:r>
      <w:r w:rsidR="00C764B3">
        <w:rPr>
          <w:rFonts w:eastAsia="Times New Roman"/>
          <w:szCs w:val="24"/>
        </w:rPr>
        <w:t>feel</w:t>
      </w:r>
      <w:r w:rsidRPr="0000049D">
        <w:rPr>
          <w:rFonts w:eastAsia="Times New Roman"/>
          <w:szCs w:val="24"/>
        </w:rPr>
        <w:t xml:space="preserve"> empowered</w:t>
      </w:r>
      <w:r w:rsidR="00C764B3">
        <w:rPr>
          <w:rFonts w:eastAsia="Times New Roman"/>
          <w:szCs w:val="24"/>
        </w:rPr>
        <w:t>,</w:t>
      </w:r>
      <w:r w:rsidRPr="0000049D">
        <w:rPr>
          <w:rFonts w:eastAsia="Times New Roman"/>
          <w:szCs w:val="24"/>
        </w:rPr>
        <w:t xml:space="preserve"> through the acquisition of gardening and related skills</w:t>
      </w:r>
      <w:r w:rsidR="00C764B3">
        <w:rPr>
          <w:rFonts w:eastAsia="Times New Roman"/>
          <w:szCs w:val="24"/>
        </w:rPr>
        <w:t>,</w:t>
      </w:r>
      <w:r w:rsidRPr="0000049D">
        <w:rPr>
          <w:rFonts w:eastAsia="Times New Roman"/>
          <w:szCs w:val="24"/>
        </w:rPr>
        <w:t xml:space="preserve"> to apply for plots of their own, </w:t>
      </w:r>
      <w:r w:rsidR="00C764B3">
        <w:rPr>
          <w:rFonts w:eastAsia="Times New Roman"/>
          <w:szCs w:val="24"/>
        </w:rPr>
        <w:t>with a consequent widening of participation in allotment gardening</w:t>
      </w:r>
      <w:r w:rsidRPr="0000049D">
        <w:rPr>
          <w:rFonts w:eastAsia="Times New Roman"/>
          <w:szCs w:val="24"/>
        </w:rPr>
        <w:t xml:space="preserve">. </w:t>
      </w:r>
    </w:p>
    <w:p w14:paraId="0B17AF36" w14:textId="77777777" w:rsidR="009A739F" w:rsidRPr="0000049D" w:rsidRDefault="009A739F" w:rsidP="00DF4222">
      <w:pPr>
        <w:pStyle w:val="NoSpacing"/>
        <w:rPr>
          <w:rFonts w:eastAsia="Times New Roman"/>
          <w:szCs w:val="24"/>
        </w:rPr>
      </w:pPr>
    </w:p>
    <w:p w14:paraId="7691A855" w14:textId="489557DE" w:rsidR="009A739F" w:rsidRDefault="00650305" w:rsidP="00DF4222">
      <w:pPr>
        <w:pStyle w:val="NoSpacing"/>
        <w:rPr>
          <w:szCs w:val="24"/>
        </w:rPr>
      </w:pPr>
      <w:r w:rsidRPr="0000049D">
        <w:rPr>
          <w:szCs w:val="24"/>
        </w:rPr>
        <w:t>3</w:t>
      </w:r>
      <w:r w:rsidR="00DF4222">
        <w:rPr>
          <w:szCs w:val="24"/>
        </w:rPr>
        <w:t>.</w:t>
      </w:r>
      <w:r w:rsidRPr="0000049D">
        <w:rPr>
          <w:szCs w:val="24"/>
        </w:rPr>
        <w:t xml:space="preserve"> Where there are people on waiting lists for allotment gardens, the Society believes that it is inappropriate for land </w:t>
      </w:r>
      <w:r w:rsidR="00AD2D36">
        <w:rPr>
          <w:szCs w:val="24"/>
        </w:rPr>
        <w:t xml:space="preserve">that is </w:t>
      </w:r>
      <w:r w:rsidRPr="0000049D">
        <w:rPr>
          <w:szCs w:val="24"/>
        </w:rPr>
        <w:t>designated for use as allotment gardens</w:t>
      </w:r>
      <w:r w:rsidR="00AD2D36">
        <w:rPr>
          <w:szCs w:val="24"/>
        </w:rPr>
        <w:t>,</w:t>
      </w:r>
      <w:r w:rsidRPr="0000049D">
        <w:rPr>
          <w:szCs w:val="24"/>
        </w:rPr>
        <w:t xml:space="preserve"> and </w:t>
      </w:r>
      <w:r w:rsidR="00AD2D36">
        <w:rPr>
          <w:szCs w:val="24"/>
        </w:rPr>
        <w:t xml:space="preserve">is </w:t>
      </w:r>
      <w:r w:rsidRPr="0000049D">
        <w:rPr>
          <w:szCs w:val="24"/>
        </w:rPr>
        <w:t>either currently or potentially fit for that purpose</w:t>
      </w:r>
      <w:r w:rsidR="00AD2D36">
        <w:rPr>
          <w:szCs w:val="24"/>
        </w:rPr>
        <w:t>,</w:t>
      </w:r>
      <w:r w:rsidRPr="0000049D">
        <w:rPr>
          <w:szCs w:val="24"/>
        </w:rPr>
        <w:t xml:space="preserve"> to be newly allocated instead to forms of cultivation other than allotment gardening. </w:t>
      </w:r>
    </w:p>
    <w:p w14:paraId="406376CA" w14:textId="77777777" w:rsidR="009A739F" w:rsidRDefault="009A739F" w:rsidP="00DF4222">
      <w:pPr>
        <w:pStyle w:val="NoSpacing"/>
        <w:rPr>
          <w:szCs w:val="24"/>
        </w:rPr>
      </w:pPr>
    </w:p>
    <w:p w14:paraId="3B94E8F7" w14:textId="6549AC42" w:rsidR="00650305" w:rsidRDefault="009A739F" w:rsidP="00DF4222">
      <w:pPr>
        <w:pStyle w:val="NoSpacing"/>
        <w:rPr>
          <w:szCs w:val="24"/>
        </w:rPr>
      </w:pPr>
      <w:r>
        <w:rPr>
          <w:szCs w:val="24"/>
        </w:rPr>
        <w:t>4</w:t>
      </w:r>
      <w:r w:rsidR="00DF4222">
        <w:rPr>
          <w:szCs w:val="24"/>
        </w:rPr>
        <w:t>.</w:t>
      </w:r>
      <w:r>
        <w:rPr>
          <w:szCs w:val="24"/>
        </w:rPr>
        <w:t xml:space="preserve"> </w:t>
      </w:r>
      <w:r w:rsidR="00650305" w:rsidRPr="0000049D">
        <w:rPr>
          <w:szCs w:val="24"/>
        </w:rPr>
        <w:t xml:space="preserve">The Society recognises, however, that Allotment Authorities and other allotment providers may still wish to accommodate </w:t>
      </w:r>
      <w:r w:rsidR="00AD2D36">
        <w:rPr>
          <w:szCs w:val="24"/>
        </w:rPr>
        <w:t xml:space="preserve">existing </w:t>
      </w:r>
      <w:r w:rsidR="00650305" w:rsidRPr="0000049D">
        <w:rPr>
          <w:szCs w:val="24"/>
        </w:rPr>
        <w:t>projects based on alternative ways of organizing cultivation</w:t>
      </w:r>
      <w:r w:rsidR="00AD2D36">
        <w:rPr>
          <w:szCs w:val="24"/>
        </w:rPr>
        <w:t>,</w:t>
      </w:r>
      <w:r w:rsidR="00650305" w:rsidRPr="0000049D">
        <w:rPr>
          <w:szCs w:val="24"/>
        </w:rPr>
        <w:t xml:space="preserve"> where these were established when allotment gardens were in surplus supply, and which continue to perform a role that is complementary to allotment gardening. </w:t>
      </w:r>
    </w:p>
    <w:p w14:paraId="26A970D4" w14:textId="77777777" w:rsidR="009A739F" w:rsidRDefault="009A739F" w:rsidP="00DF4222">
      <w:pPr>
        <w:pStyle w:val="NoSpacing"/>
        <w:rPr>
          <w:szCs w:val="24"/>
        </w:rPr>
      </w:pPr>
    </w:p>
    <w:p w14:paraId="5D881A8A" w14:textId="23A5E416" w:rsidR="009A739F" w:rsidRPr="0000049D" w:rsidRDefault="009A739F" w:rsidP="00DF4222">
      <w:pPr>
        <w:pStyle w:val="NoSpacing"/>
        <w:rPr>
          <w:rFonts w:eastAsia="Times New Roman"/>
          <w:szCs w:val="24"/>
        </w:rPr>
      </w:pPr>
      <w:r>
        <w:rPr>
          <w:szCs w:val="24"/>
        </w:rPr>
        <w:t>5</w:t>
      </w:r>
      <w:r w:rsidR="00DF4222">
        <w:rPr>
          <w:szCs w:val="24"/>
        </w:rPr>
        <w:t>.</w:t>
      </w:r>
      <w:r>
        <w:rPr>
          <w:szCs w:val="24"/>
        </w:rPr>
        <w:t xml:space="preserve"> </w:t>
      </w:r>
      <w:r w:rsidRPr="0000049D">
        <w:rPr>
          <w:rFonts w:eastAsia="Times New Roman"/>
          <w:szCs w:val="24"/>
        </w:rPr>
        <w:t xml:space="preserve">The Society also recognises that alternative complementary uses may be appropriate for land enclosed within allotment sites that is not suitable for cultivation as allotment gardens. </w:t>
      </w:r>
    </w:p>
    <w:p w14:paraId="4D5A300F" w14:textId="17F28E63" w:rsidR="009A739F" w:rsidRPr="0000049D" w:rsidRDefault="009A739F" w:rsidP="00DF4222">
      <w:pPr>
        <w:pStyle w:val="NoSpacing"/>
        <w:rPr>
          <w:szCs w:val="24"/>
        </w:rPr>
      </w:pPr>
    </w:p>
    <w:p w14:paraId="30463A79" w14:textId="4E562A87" w:rsidR="00650305" w:rsidRPr="0000049D" w:rsidRDefault="009A739F" w:rsidP="00DF4222">
      <w:pPr>
        <w:pStyle w:val="NoSpacing"/>
        <w:rPr>
          <w:szCs w:val="24"/>
        </w:rPr>
      </w:pPr>
      <w:r>
        <w:rPr>
          <w:szCs w:val="24"/>
        </w:rPr>
        <w:t>6</w:t>
      </w:r>
      <w:r w:rsidR="00DF4222">
        <w:rPr>
          <w:szCs w:val="24"/>
        </w:rPr>
        <w:t>.</w:t>
      </w:r>
      <w:r w:rsidR="00650305" w:rsidRPr="0000049D">
        <w:rPr>
          <w:szCs w:val="24"/>
        </w:rPr>
        <w:t xml:space="preserve"> Where gardening organized on a basis other than individual allotment gardens is located on land designated for use as allotments, the Society believes that </w:t>
      </w:r>
      <w:r w:rsidR="00690B81">
        <w:rPr>
          <w:szCs w:val="24"/>
        </w:rPr>
        <w:t>it</w:t>
      </w:r>
      <w:r w:rsidR="00650305" w:rsidRPr="0000049D">
        <w:rPr>
          <w:szCs w:val="24"/>
        </w:rPr>
        <w:t xml:space="preserve"> should be governed by legal and administrative arrangements that assure compliance with allotment law, which are binding on all participants in the project, and which ensure the timely return of the land, in </w:t>
      </w:r>
      <w:r w:rsidR="00690B81">
        <w:rPr>
          <w:szCs w:val="24"/>
        </w:rPr>
        <w:t>a</w:t>
      </w:r>
      <w:r w:rsidR="00650305" w:rsidRPr="0000049D">
        <w:rPr>
          <w:szCs w:val="24"/>
        </w:rPr>
        <w:t xml:space="preserve"> condition</w:t>
      </w:r>
      <w:r w:rsidR="00690B81">
        <w:rPr>
          <w:szCs w:val="24"/>
        </w:rPr>
        <w:t xml:space="preserve"> no worse than that in which it was first acquired for alternative use</w:t>
      </w:r>
      <w:r w:rsidR="00650305" w:rsidRPr="0000049D">
        <w:rPr>
          <w:szCs w:val="24"/>
        </w:rPr>
        <w:t>, to allotment garden use when there is a demand for it, at no cost to the Allotment Authority or other allotment provider.</w:t>
      </w:r>
    </w:p>
    <w:p w14:paraId="113E09C1" w14:textId="77777777" w:rsidR="00650305" w:rsidRPr="0000049D" w:rsidRDefault="00650305" w:rsidP="00DF4222">
      <w:pPr>
        <w:pStyle w:val="NoSpacing"/>
        <w:rPr>
          <w:szCs w:val="24"/>
        </w:rPr>
      </w:pPr>
    </w:p>
    <w:p w14:paraId="1408E3C5" w14:textId="516D1760" w:rsidR="00650305" w:rsidRDefault="009A739F" w:rsidP="00DF4222">
      <w:pPr>
        <w:pStyle w:val="NoSpacing"/>
        <w:rPr>
          <w:szCs w:val="24"/>
        </w:rPr>
      </w:pPr>
      <w:r>
        <w:rPr>
          <w:szCs w:val="24"/>
        </w:rPr>
        <w:t>7</w:t>
      </w:r>
      <w:r w:rsidR="00DF4222">
        <w:rPr>
          <w:szCs w:val="24"/>
        </w:rPr>
        <w:t>.</w:t>
      </w:r>
      <w:r w:rsidR="00650305" w:rsidRPr="0000049D">
        <w:rPr>
          <w:szCs w:val="24"/>
        </w:rPr>
        <w:t xml:space="preserve"> The Society recognises the inherent value of oth</w:t>
      </w:r>
      <w:r w:rsidR="00F4136F">
        <w:rPr>
          <w:szCs w:val="24"/>
        </w:rPr>
        <w:t>er ways of organising gardening,</w:t>
      </w:r>
      <w:r w:rsidR="00650305" w:rsidRPr="0000049D">
        <w:rPr>
          <w:szCs w:val="24"/>
        </w:rPr>
        <w:t xml:space="preserve"> and will cooperate with representative bodies to help ensure that land is available for </w:t>
      </w:r>
      <w:r w:rsidR="00F4136F">
        <w:rPr>
          <w:szCs w:val="24"/>
        </w:rPr>
        <w:t>these</w:t>
      </w:r>
      <w:r w:rsidR="00650305" w:rsidRPr="0000049D">
        <w:rPr>
          <w:szCs w:val="24"/>
        </w:rPr>
        <w:t xml:space="preserve"> where the dema</w:t>
      </w:r>
      <w:r w:rsidR="00F4136F">
        <w:rPr>
          <w:szCs w:val="24"/>
        </w:rPr>
        <w:t>nd for allotment gardens allows;</w:t>
      </w:r>
      <w:r w:rsidR="00650305" w:rsidRPr="0000049D">
        <w:rPr>
          <w:szCs w:val="24"/>
        </w:rPr>
        <w:t xml:space="preserve"> that </w:t>
      </w:r>
      <w:r w:rsidR="00F4136F">
        <w:rPr>
          <w:szCs w:val="24"/>
        </w:rPr>
        <w:t xml:space="preserve">any </w:t>
      </w:r>
      <w:r w:rsidR="00650305" w:rsidRPr="0000049D">
        <w:rPr>
          <w:szCs w:val="24"/>
        </w:rPr>
        <w:t xml:space="preserve">relocations from allotment garden land to </w:t>
      </w:r>
      <w:r w:rsidR="00650305" w:rsidRPr="0000049D">
        <w:rPr>
          <w:szCs w:val="24"/>
        </w:rPr>
        <w:lastRenderedPageBreak/>
        <w:t>enable reversion to allotment garden us</w:t>
      </w:r>
      <w:r w:rsidR="00F4136F">
        <w:rPr>
          <w:szCs w:val="24"/>
        </w:rPr>
        <w:t>e are conducted sympathetically;</w:t>
      </w:r>
      <w:r w:rsidR="00650305" w:rsidRPr="0000049D">
        <w:rPr>
          <w:szCs w:val="24"/>
        </w:rPr>
        <w:t xml:space="preserve"> and that synergies between allotment gardens and other forms of gardening are promoted irrespective of wh</w:t>
      </w:r>
      <w:r w:rsidR="00650305">
        <w:rPr>
          <w:szCs w:val="24"/>
        </w:rPr>
        <w:t>ere the latter may be located.</w:t>
      </w:r>
    </w:p>
    <w:p w14:paraId="3416A7F3" w14:textId="77777777" w:rsidR="00650305" w:rsidRPr="0000049D" w:rsidRDefault="00650305" w:rsidP="00DF4222">
      <w:pPr>
        <w:pStyle w:val="NoSpacing"/>
        <w:rPr>
          <w:szCs w:val="24"/>
        </w:rPr>
      </w:pPr>
    </w:p>
    <w:p w14:paraId="6435F5A2" w14:textId="362796D4" w:rsidR="00650305" w:rsidRPr="0000049D" w:rsidRDefault="009A739F" w:rsidP="00DF4222">
      <w:pPr>
        <w:pStyle w:val="NoSpacing"/>
        <w:rPr>
          <w:szCs w:val="24"/>
        </w:rPr>
      </w:pPr>
      <w:r>
        <w:rPr>
          <w:szCs w:val="24"/>
        </w:rPr>
        <w:t>8</w:t>
      </w:r>
      <w:r w:rsidR="00DF4222">
        <w:rPr>
          <w:szCs w:val="24"/>
        </w:rPr>
        <w:t>.</w:t>
      </w:r>
      <w:r w:rsidR="00650305" w:rsidRPr="0000049D">
        <w:rPr>
          <w:szCs w:val="24"/>
        </w:rPr>
        <w:t xml:space="preserve"> The Society </w:t>
      </w:r>
      <w:r w:rsidR="00F265DC">
        <w:rPr>
          <w:szCs w:val="24"/>
        </w:rPr>
        <w:t>notes</w:t>
      </w:r>
      <w:r w:rsidR="00650305" w:rsidRPr="0000049D">
        <w:rPr>
          <w:szCs w:val="24"/>
        </w:rPr>
        <w:t xml:space="preserve"> that a wide variety of names are in current use to describe forms of gardening practiced on allotment garden sites </w:t>
      </w:r>
      <w:r w:rsidR="00F265DC">
        <w:rPr>
          <w:szCs w:val="24"/>
        </w:rPr>
        <w:t xml:space="preserve">which are </w:t>
      </w:r>
      <w:r w:rsidR="00650305" w:rsidRPr="0000049D">
        <w:rPr>
          <w:szCs w:val="24"/>
        </w:rPr>
        <w:t xml:space="preserve">at variance with the statutory definition of an allotment garden. It regards those names that include the adjective “community” as misleading, and would encourage its members to consider whether it is in their best interests to continue to use them. While this adjective is popular with funders, it can also deflect attention from the communities of interest and concern that typify allotment sites through the voluntary and spontaneous association of allotment gardeners, to which the adjective “community” can also be </w:t>
      </w:r>
      <w:r w:rsidR="00650305" w:rsidRPr="002D7A3E">
        <w:rPr>
          <w:color w:val="000000" w:themeColor="text1"/>
          <w:szCs w:val="24"/>
        </w:rPr>
        <w:t>legitimately attached.</w:t>
      </w:r>
      <w:r w:rsidR="002D7A3E" w:rsidRPr="002D7A3E">
        <w:rPr>
          <w:color w:val="000000" w:themeColor="text1"/>
          <w:szCs w:val="24"/>
        </w:rPr>
        <w:t xml:space="preserve"> </w:t>
      </w:r>
      <w:r w:rsidR="002D7A3E">
        <w:rPr>
          <w:color w:val="000000" w:themeColor="text1"/>
          <w:szCs w:val="24"/>
        </w:rPr>
        <w:t>The</w:t>
      </w:r>
      <w:r w:rsidR="002D7A3E" w:rsidRPr="002D7A3E">
        <w:rPr>
          <w:rFonts w:ascii="Calibri" w:hAnsi="Calibri"/>
          <w:color w:val="000000" w:themeColor="text1"/>
        </w:rPr>
        <w:t xml:space="preserve"> Society </w:t>
      </w:r>
      <w:r w:rsidR="002D4B2A">
        <w:rPr>
          <w:rFonts w:ascii="Calibri" w:hAnsi="Calibri"/>
          <w:color w:val="000000" w:themeColor="text1"/>
        </w:rPr>
        <w:t xml:space="preserve">also </w:t>
      </w:r>
      <w:r w:rsidR="002D7A3E">
        <w:rPr>
          <w:rFonts w:ascii="Calibri" w:hAnsi="Calibri"/>
          <w:color w:val="000000" w:themeColor="text1"/>
        </w:rPr>
        <w:t xml:space="preserve">does not believe it appropriate to apply </w:t>
      </w:r>
      <w:r w:rsidR="002D7A3E" w:rsidRPr="002D7A3E">
        <w:rPr>
          <w:rFonts w:ascii="Calibri" w:hAnsi="Calibri"/>
          <w:color w:val="000000" w:themeColor="text1"/>
        </w:rPr>
        <w:t>the word “allotment” to gardening schemes that do not comply with the definitions underpinning the Allotment Acts.</w:t>
      </w:r>
    </w:p>
    <w:p w14:paraId="051D3853" w14:textId="77777777" w:rsidR="00650305" w:rsidRPr="0000049D" w:rsidRDefault="00650305" w:rsidP="00650305">
      <w:pPr>
        <w:spacing w:before="0" w:after="0"/>
        <w:jc w:val="left"/>
        <w:rPr>
          <w:szCs w:val="24"/>
        </w:rPr>
      </w:pPr>
    </w:p>
    <w:p w14:paraId="1CBA8858" w14:textId="2B9CF7CA" w:rsidR="00650305" w:rsidRPr="00B51D91" w:rsidRDefault="00650305" w:rsidP="00650305">
      <w:pPr>
        <w:spacing w:before="0" w:after="0"/>
        <w:jc w:val="left"/>
        <w:rPr>
          <w:szCs w:val="24"/>
        </w:rPr>
      </w:pPr>
    </w:p>
    <w:p w14:paraId="3B0D4B4C" w14:textId="77777777" w:rsidR="00926AF8" w:rsidRDefault="00926AF8"/>
    <w:sectPr w:rsidR="00926A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FFBA" w14:textId="77777777" w:rsidR="00F4136F" w:rsidRDefault="00F4136F">
      <w:pPr>
        <w:spacing w:before="0" w:after="0" w:line="240" w:lineRule="auto"/>
      </w:pPr>
      <w:r>
        <w:separator/>
      </w:r>
    </w:p>
  </w:endnote>
  <w:endnote w:type="continuationSeparator" w:id="0">
    <w:p w14:paraId="313031FD" w14:textId="77777777" w:rsidR="00F4136F" w:rsidRDefault="00F41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87560"/>
      <w:docPartObj>
        <w:docPartGallery w:val="Page Numbers (Bottom of Page)"/>
        <w:docPartUnique/>
      </w:docPartObj>
    </w:sdtPr>
    <w:sdtEndPr>
      <w:rPr>
        <w:noProof/>
      </w:rPr>
    </w:sdtEndPr>
    <w:sdtContent>
      <w:p w14:paraId="1BD6B1B2" w14:textId="5954F20B" w:rsidR="00DF4222" w:rsidRDefault="00DF4222" w:rsidP="00DF4222">
        <w:pPr>
          <w:pStyle w:val="Footer"/>
          <w:pBdr>
            <w:top w:val="thinThickSmallGap" w:sz="24" w:space="1" w:color="622423" w:themeColor="accent2" w:themeShade="7F"/>
          </w:pBdr>
          <w:rPr>
            <w:rFonts w:asciiTheme="majorHAnsi" w:hAnsiTheme="majorHAnsi"/>
          </w:rPr>
        </w:pPr>
        <w:r>
          <w:rPr>
            <w:rFonts w:asciiTheme="majorHAnsi" w:hAnsiTheme="majorHAnsi"/>
          </w:rPr>
          <w:t>NASPolicy/LandDesignatedAllotmentsforOtherFormsofGardening/Nov15/v1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50427" w:rsidRPr="00850427">
          <w:rPr>
            <w:rFonts w:asciiTheme="majorHAnsi" w:hAnsiTheme="majorHAnsi"/>
            <w:noProof/>
          </w:rPr>
          <w:t>1</w:t>
        </w:r>
        <w:r>
          <w:rPr>
            <w:rFonts w:asciiTheme="majorHAnsi" w:hAnsiTheme="majorHAnsi"/>
            <w:noProof/>
          </w:rPr>
          <w:fldChar w:fldCharType="end"/>
        </w:r>
      </w:p>
      <w:p w14:paraId="5E72C58F" w14:textId="3E6C7475" w:rsidR="00F4136F" w:rsidRDefault="00850427">
        <w:pPr>
          <w:pStyle w:val="Footer"/>
          <w:jc w:val="right"/>
        </w:pPr>
      </w:p>
    </w:sdtContent>
  </w:sdt>
  <w:p w14:paraId="7411F748" w14:textId="77777777" w:rsidR="00F4136F" w:rsidRDefault="00F4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6659" w14:textId="77777777" w:rsidR="00F4136F" w:rsidRDefault="00F4136F">
      <w:pPr>
        <w:spacing w:before="0" w:after="0" w:line="240" w:lineRule="auto"/>
      </w:pPr>
      <w:r>
        <w:separator/>
      </w:r>
    </w:p>
  </w:footnote>
  <w:footnote w:type="continuationSeparator" w:id="0">
    <w:p w14:paraId="60BE246B" w14:textId="77777777" w:rsidR="00F4136F" w:rsidRDefault="00F4136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05"/>
    <w:rsid w:val="00066FB7"/>
    <w:rsid w:val="000E688D"/>
    <w:rsid w:val="00280BB4"/>
    <w:rsid w:val="002D4B2A"/>
    <w:rsid w:val="002D7A3E"/>
    <w:rsid w:val="0046530C"/>
    <w:rsid w:val="00525C00"/>
    <w:rsid w:val="00531148"/>
    <w:rsid w:val="00613A64"/>
    <w:rsid w:val="00650305"/>
    <w:rsid w:val="00690B81"/>
    <w:rsid w:val="00785CA1"/>
    <w:rsid w:val="00850427"/>
    <w:rsid w:val="008F6193"/>
    <w:rsid w:val="00926AF8"/>
    <w:rsid w:val="00970CF6"/>
    <w:rsid w:val="009A739F"/>
    <w:rsid w:val="00A753B8"/>
    <w:rsid w:val="00AD2D36"/>
    <w:rsid w:val="00B1237B"/>
    <w:rsid w:val="00C764B3"/>
    <w:rsid w:val="00CB5B26"/>
    <w:rsid w:val="00DE3EE5"/>
    <w:rsid w:val="00DF4222"/>
    <w:rsid w:val="00F265DC"/>
    <w:rsid w:val="00F4136F"/>
    <w:rsid w:val="00F845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F428D"/>
  <w15:docId w15:val="{6A991114-A11B-40B7-BF51-C2B2F4A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05"/>
    <w:pPr>
      <w:spacing w:before="120" w:after="120" w:line="360" w:lineRule="auto"/>
      <w:jc w:val="both"/>
    </w:pPr>
    <w:rPr>
      <w:sz w:val="24"/>
    </w:rPr>
  </w:style>
  <w:style w:type="paragraph" w:styleId="Heading2">
    <w:name w:val="heading 2"/>
    <w:basedOn w:val="Normal"/>
    <w:next w:val="Normal"/>
    <w:link w:val="Heading2Char"/>
    <w:uiPriority w:val="9"/>
    <w:semiHidden/>
    <w:unhideWhenUsed/>
    <w:qFormat/>
    <w:rsid w:val="000E68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RAFTS">
    <w:name w:val="DB_DRAFTS"/>
    <w:basedOn w:val="Heading2"/>
    <w:qFormat/>
    <w:rsid w:val="000E688D"/>
    <w:pPr>
      <w:spacing w:before="0"/>
    </w:pPr>
    <w:rPr>
      <w:rFonts w:asciiTheme="minorHAnsi" w:hAnsiTheme="minorHAnsi" w:cstheme="minorHAnsi"/>
      <w:b w:val="0"/>
      <w:color w:val="auto"/>
      <w:sz w:val="24"/>
      <w:szCs w:val="24"/>
      <w:u w:val="single"/>
    </w:rPr>
  </w:style>
  <w:style w:type="character" w:customStyle="1" w:styleId="Heading2Char">
    <w:name w:val="Heading 2 Char"/>
    <w:basedOn w:val="DefaultParagraphFont"/>
    <w:link w:val="Heading2"/>
    <w:uiPriority w:val="9"/>
    <w:semiHidden/>
    <w:rsid w:val="000E688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65030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0305"/>
    <w:rPr>
      <w:sz w:val="24"/>
    </w:rPr>
  </w:style>
  <w:style w:type="paragraph" w:styleId="NoSpacing">
    <w:name w:val="No Spacing"/>
    <w:uiPriority w:val="1"/>
    <w:qFormat/>
    <w:rsid w:val="00DF4222"/>
    <w:pPr>
      <w:spacing w:after="0" w:line="240" w:lineRule="auto"/>
      <w:jc w:val="both"/>
    </w:pPr>
    <w:rPr>
      <w:sz w:val="24"/>
    </w:rPr>
  </w:style>
  <w:style w:type="paragraph" w:styleId="Header">
    <w:name w:val="header"/>
    <w:basedOn w:val="Normal"/>
    <w:link w:val="HeaderChar"/>
    <w:uiPriority w:val="99"/>
    <w:unhideWhenUsed/>
    <w:rsid w:val="00DF42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42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4</cp:revision>
  <dcterms:created xsi:type="dcterms:W3CDTF">2016-01-11T14:36:00Z</dcterms:created>
  <dcterms:modified xsi:type="dcterms:W3CDTF">2016-01-11T16:00:00Z</dcterms:modified>
</cp:coreProperties>
</file>